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A07" w:rsidRPr="00DE0A07" w:rsidRDefault="00DE0A07" w:rsidP="00DE0A07">
      <w:pPr>
        <w:pStyle w:val="NormalWeb"/>
        <w:jc w:val="both"/>
        <w:rPr>
          <w:rFonts w:ascii="Calibri" w:hAnsi="Calibri"/>
          <w:color w:val="000000"/>
          <w:sz w:val="28"/>
          <w:szCs w:val="28"/>
          <w:lang w:val="en-NZ"/>
        </w:rPr>
      </w:pPr>
      <w:r w:rsidRPr="00DE0A07">
        <w:rPr>
          <w:rFonts w:ascii="Calibri" w:hAnsi="Calibri"/>
          <w:color w:val="000000"/>
          <w:sz w:val="28"/>
          <w:szCs w:val="28"/>
          <w:lang w:val="en-NZ"/>
        </w:rPr>
        <w:t>Dr John Vargo is a senior researcher and co-leader of the Resilient Organisations Research Programme based at the University of Canterbury. His interests focus on the building organisational resilience in the face of systemic insecurity in a complex and interconnected world. </w:t>
      </w:r>
    </w:p>
    <w:p w:rsidR="00DE0A07" w:rsidRPr="00DE0A07" w:rsidRDefault="00DE0A07" w:rsidP="00DE0A07">
      <w:pPr>
        <w:pStyle w:val="NormalWeb"/>
        <w:jc w:val="both"/>
        <w:rPr>
          <w:rFonts w:ascii="Calibri" w:hAnsi="Calibri"/>
          <w:color w:val="000000"/>
          <w:sz w:val="28"/>
          <w:szCs w:val="28"/>
          <w:lang w:val="en-NZ"/>
        </w:rPr>
      </w:pPr>
      <w:r w:rsidRPr="00DE0A07">
        <w:rPr>
          <w:rFonts w:ascii="Calibri" w:hAnsi="Calibri"/>
          <w:color w:val="000000"/>
          <w:sz w:val="28"/>
          <w:szCs w:val="28"/>
          <w:lang w:val="en-NZ"/>
        </w:rPr>
        <w:t>John was a practicing Certified Public Accountant (CPA) in the US prior to</w:t>
      </w:r>
      <w:r>
        <w:rPr>
          <w:rFonts w:ascii="Calibri" w:hAnsi="Calibri"/>
          <w:color w:val="000000"/>
          <w:sz w:val="28"/>
          <w:szCs w:val="28"/>
          <w:lang w:val="en-NZ"/>
        </w:rPr>
        <w:t xml:space="preserve"> moving to New Zealand and has lived there </w:t>
      </w:r>
      <w:bookmarkStart w:id="0" w:name="_GoBack"/>
      <w:bookmarkEnd w:id="0"/>
      <w:r w:rsidRPr="00DE0A07">
        <w:rPr>
          <w:rFonts w:ascii="Calibri" w:hAnsi="Calibri"/>
          <w:color w:val="000000"/>
          <w:sz w:val="28"/>
          <w:szCs w:val="28"/>
          <w:lang w:val="en-NZ"/>
        </w:rPr>
        <w:t>for over 30 years. His research interests are in organisational resilience, information security, risk management, e-commerce and strategic planning.</w:t>
      </w:r>
    </w:p>
    <w:p w:rsidR="00DE0A07" w:rsidRPr="00DE0A07" w:rsidRDefault="00DE0A07" w:rsidP="00DE0A07">
      <w:pPr>
        <w:pStyle w:val="NormalWeb"/>
        <w:jc w:val="both"/>
        <w:rPr>
          <w:rFonts w:ascii="Calibri" w:hAnsi="Calibri"/>
          <w:color w:val="000000"/>
          <w:sz w:val="28"/>
          <w:szCs w:val="28"/>
          <w:lang w:val="en-NZ"/>
        </w:rPr>
      </w:pPr>
      <w:r w:rsidRPr="00DE0A07">
        <w:rPr>
          <w:rFonts w:ascii="Calibri" w:hAnsi="Calibri"/>
          <w:color w:val="000000"/>
          <w:sz w:val="28"/>
          <w:szCs w:val="28"/>
          <w:lang w:val="en-NZ"/>
        </w:rPr>
        <w:t>John’s broad background in business and technology has involved dealing with the wide range of risks inherent in commercial organisations and their use of computing and communications technology.</w:t>
      </w:r>
    </w:p>
    <w:p w:rsidR="005C7F1A" w:rsidRPr="00DE0A07" w:rsidRDefault="00DE0A07" w:rsidP="00DE0A07">
      <w:pPr>
        <w:rPr>
          <w:sz w:val="28"/>
          <w:szCs w:val="28"/>
        </w:rPr>
      </w:pPr>
      <w:r w:rsidRPr="00DE0A07">
        <w:rPr>
          <w:color w:val="000000"/>
          <w:sz w:val="28"/>
          <w:szCs w:val="28"/>
          <w:lang w:val="en-NZ"/>
        </w:rPr>
        <w:t>In addition to his academic role, John has filled a range of senior management roles at the University of Canterbury in support of major change initiatives including: Dean of Commerce, Pro Vice-Chancellor (Business and Economics), Director of ICT, Chief Operating Officer, Chief Financial Officer and Assistant Vice Chancellor for Student Services.</w:t>
      </w:r>
    </w:p>
    <w:sectPr w:rsidR="005C7F1A" w:rsidRPr="00DE0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07"/>
    <w:rsid w:val="00317DC3"/>
    <w:rsid w:val="00467644"/>
    <w:rsid w:val="00DE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A0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0A0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A0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0A0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Troutman</dc:creator>
  <cp:lastModifiedBy>Mark Troutman</cp:lastModifiedBy>
  <cp:revision>1</cp:revision>
  <dcterms:created xsi:type="dcterms:W3CDTF">2013-07-11T17:32:00Z</dcterms:created>
  <dcterms:modified xsi:type="dcterms:W3CDTF">2013-07-11T17:33:00Z</dcterms:modified>
</cp:coreProperties>
</file>